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4C250" w14:textId="77777777" w:rsidR="006A65E2" w:rsidRDefault="006A65E2" w:rsidP="00603196">
      <w:pPr>
        <w:spacing w:after="0" w:line="240" w:lineRule="auto"/>
        <w:jc w:val="center"/>
        <w:rPr>
          <w:rFonts w:asciiTheme="majorBidi" w:hAnsiTheme="majorBidi" w:cstheme="majorBidi"/>
          <w:b/>
          <w:bCs/>
          <w:lang w:val="en-US"/>
          <w14:ligatures w14:val="none"/>
        </w:rPr>
      </w:pPr>
    </w:p>
    <w:p w14:paraId="13E65E93" w14:textId="70A3B146" w:rsidR="006E3BFA" w:rsidRPr="006E3BFA" w:rsidRDefault="006E3BFA" w:rsidP="00603196">
      <w:pP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Pr="00512960"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603196">
      <w:pPr>
        <w:pBdr>
          <w:bottom w:val="single" w:sz="18" w:space="1" w:color="auto"/>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603196">
      <w:pPr>
        <w:pBdr>
          <w:bottom w:val="single" w:sz="18" w:space="1" w:color="auto"/>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6A65E2" w:rsidRDefault="002707AA" w:rsidP="006E3BFA">
      <w:pPr>
        <w:bidi/>
        <w:spacing w:after="0" w:line="240" w:lineRule="auto"/>
        <w:rPr>
          <w:rFonts w:asciiTheme="majorBidi" w:eastAsia="Calibri" w:hAnsiTheme="majorBidi" w:cstheme="majorBidi"/>
          <w:b/>
          <w:bCs/>
          <w:sz w:val="24"/>
          <w:szCs w:val="24"/>
          <w:lang w:val="en-US" w:eastAsia="it-IT"/>
        </w:rPr>
      </w:pPr>
      <w:r w:rsidRPr="006A65E2">
        <w:rPr>
          <w:rFonts w:asciiTheme="majorBidi" w:eastAsia="Calibri" w:hAnsiTheme="majorBidi" w:cs="Times New Roman" w:hint="cs"/>
          <w:b/>
          <w:bCs/>
          <w:sz w:val="24"/>
          <w:szCs w:val="24"/>
          <w:rtl/>
          <w:lang w:val="en-US" w:eastAsia="it-IT"/>
        </w:rPr>
        <w:t>ا</w:t>
      </w:r>
      <w:r w:rsidRPr="006A65E2">
        <w:rPr>
          <w:rFonts w:asciiTheme="majorBidi" w:eastAsia="Calibri" w:hAnsiTheme="majorBidi" w:cs="Times New Roman"/>
          <w:b/>
          <w:bCs/>
          <w:sz w:val="24"/>
          <w:szCs w:val="24"/>
          <w:rtl/>
          <w:lang w:val="en-US" w:eastAsia="it-IT"/>
        </w:rPr>
        <w:t xml:space="preserve">لملخص: </w:t>
      </w:r>
    </w:p>
    <w:p w14:paraId="6C378ED3" w14:textId="6D0BCCD1" w:rsidR="002707AA" w:rsidRPr="006A65E2" w:rsidRDefault="002707AA" w:rsidP="002707AA">
      <w:pPr>
        <w:bidi/>
        <w:spacing w:after="0" w:line="240" w:lineRule="auto"/>
        <w:rPr>
          <w:rFonts w:asciiTheme="majorBidi" w:eastAsia="Calibri" w:hAnsiTheme="majorBidi" w:cstheme="majorBidi"/>
          <w:sz w:val="24"/>
          <w:szCs w:val="24"/>
          <w:lang w:val="en-US" w:eastAsia="it-IT"/>
        </w:rPr>
      </w:pPr>
      <w:r w:rsidRPr="006A65E2">
        <w:rPr>
          <w:rFonts w:asciiTheme="majorBidi" w:eastAsia="Calibri" w:hAnsiTheme="majorBidi" w:cs="Times New Roman"/>
          <w:sz w:val="24"/>
          <w:szCs w:val="24"/>
          <w:rtl/>
          <w:lang w:val="en-US" w:eastAsia="it-IT"/>
        </w:rPr>
        <w:t xml:space="preserve">في حدود 300 كلمة، </w:t>
      </w:r>
      <w:r w:rsidRPr="006A65E2">
        <w:rPr>
          <w:rFonts w:asciiTheme="majorBidi" w:eastAsia="Calibri" w:hAnsiTheme="majorBidi" w:cstheme="majorBidi"/>
          <w:sz w:val="24"/>
          <w:szCs w:val="24"/>
          <w:lang w:val="en-US" w:eastAsia="it-IT"/>
        </w:rPr>
        <w:t>Times New Roman</w:t>
      </w:r>
      <w:r w:rsidRPr="006A65E2">
        <w:rPr>
          <w:rFonts w:asciiTheme="majorBidi" w:eastAsia="Calibri" w:hAnsiTheme="majorBidi" w:cs="Times New Roman"/>
          <w:sz w:val="24"/>
          <w:szCs w:val="24"/>
          <w:rtl/>
          <w:lang w:val="en-US" w:eastAsia="it-IT"/>
        </w:rPr>
        <w:t xml:space="preserve"> </w:t>
      </w:r>
      <w:r w:rsidR="00DF52E5">
        <w:rPr>
          <w:rFonts w:asciiTheme="majorBidi" w:eastAsia="Calibri" w:hAnsiTheme="majorBidi" w:cs="Times New Roman"/>
          <w:sz w:val="24"/>
          <w:szCs w:val="24"/>
          <w:rtl/>
          <w:lang w:val="en-US" w:eastAsia="it-IT"/>
        </w:rPr>
        <w:t>–</w:t>
      </w:r>
      <w:r w:rsidRPr="006A65E2">
        <w:rPr>
          <w:rFonts w:asciiTheme="majorBidi" w:eastAsia="Calibri" w:hAnsiTheme="majorBidi" w:cs="Times New Roman"/>
          <w:sz w:val="24"/>
          <w:szCs w:val="24"/>
          <w:rtl/>
          <w:lang w:val="en-US" w:eastAsia="it-IT"/>
        </w:rPr>
        <w:t xml:space="preserve"> </w:t>
      </w:r>
      <w:r w:rsidR="00DF52E5">
        <w:rPr>
          <w:rFonts w:asciiTheme="majorBidi" w:eastAsia="Calibri" w:hAnsiTheme="majorBidi" w:cs="Times New Roman" w:hint="cs"/>
          <w:sz w:val="24"/>
          <w:szCs w:val="24"/>
          <w:rtl/>
          <w:lang w:val="en-US" w:eastAsia="it-IT"/>
        </w:rPr>
        <w:t>(</w:t>
      </w:r>
      <w:r w:rsidRPr="006A65E2">
        <w:rPr>
          <w:rFonts w:asciiTheme="majorBidi" w:eastAsia="Calibri" w:hAnsiTheme="majorBidi" w:cs="Times New Roman"/>
          <w:sz w:val="24"/>
          <w:szCs w:val="24"/>
          <w:rtl/>
          <w:lang w:val="en-US" w:eastAsia="it-IT"/>
        </w:rPr>
        <w:t xml:space="preserve">حجم </w:t>
      </w:r>
      <w:r w:rsidR="00DF52E5">
        <w:rPr>
          <w:rFonts w:asciiTheme="majorBidi" w:eastAsia="Calibri" w:hAnsiTheme="majorBidi" w:cs="Times New Roman" w:hint="cs"/>
          <w:sz w:val="24"/>
          <w:szCs w:val="24"/>
          <w:rtl/>
          <w:lang w:val="en-US" w:eastAsia="it-IT"/>
        </w:rPr>
        <w:t>12</w:t>
      </w:r>
      <w:r w:rsidRPr="006A65E2">
        <w:rPr>
          <w:rFonts w:asciiTheme="majorBidi" w:eastAsia="Calibri" w:hAnsiTheme="majorBidi" w:cs="Times New Roman"/>
          <w:sz w:val="24"/>
          <w:szCs w:val="24"/>
          <w:rtl/>
          <w:lang w:val="en-US" w:eastAsia="it-IT"/>
        </w:rPr>
        <w:t>)</w:t>
      </w:r>
    </w:p>
    <w:p w14:paraId="2A6F34A2" w14:textId="77777777" w:rsidR="002707AA" w:rsidRPr="006A65E2" w:rsidRDefault="002707AA" w:rsidP="002707AA">
      <w:pPr>
        <w:bidi/>
        <w:spacing w:after="0" w:line="240" w:lineRule="auto"/>
        <w:rPr>
          <w:rFonts w:asciiTheme="majorBidi" w:eastAsia="Calibri" w:hAnsiTheme="majorBidi" w:cstheme="majorBidi"/>
          <w:sz w:val="24"/>
          <w:szCs w:val="24"/>
          <w:lang w:val="en-US" w:eastAsia="it-IT"/>
        </w:rPr>
      </w:pPr>
      <w:r w:rsidRPr="006A65E2">
        <w:rPr>
          <w:rFonts w:asciiTheme="majorBidi" w:eastAsia="Calibri" w:hAnsiTheme="majorBidi" w:cs="Times New Roman"/>
          <w:sz w:val="24"/>
          <w:szCs w:val="24"/>
          <w:rtl/>
          <w:lang w:val="en-US" w:eastAsia="it-IT"/>
        </w:rPr>
        <w:t>.......................................................................................................................................................................................................................................................................................................................................................................................................................................................................................................................... .</w:t>
      </w:r>
    </w:p>
    <w:p w14:paraId="0742E79F" w14:textId="77777777" w:rsidR="002707AA" w:rsidRPr="006A65E2" w:rsidRDefault="002707AA" w:rsidP="002707AA">
      <w:pPr>
        <w:bidi/>
        <w:spacing w:after="0" w:line="240" w:lineRule="auto"/>
        <w:rPr>
          <w:rFonts w:asciiTheme="majorBidi" w:eastAsia="Calibri" w:hAnsiTheme="majorBidi" w:cstheme="majorBidi"/>
          <w:sz w:val="24"/>
          <w:szCs w:val="24"/>
          <w:lang w:val="en-US" w:eastAsia="it-IT"/>
        </w:rPr>
      </w:pPr>
    </w:p>
    <w:p w14:paraId="2CBC7E27" w14:textId="77777777" w:rsidR="002707AA" w:rsidRPr="006A65E2" w:rsidRDefault="002707AA" w:rsidP="00603196">
      <w:pPr>
        <w:pBdr>
          <w:bottom w:val="single" w:sz="18" w:space="1" w:color="auto"/>
        </w:pBdr>
        <w:bidi/>
        <w:spacing w:after="0" w:line="240" w:lineRule="auto"/>
        <w:rPr>
          <w:rFonts w:asciiTheme="majorBidi" w:eastAsia="Calibri" w:hAnsiTheme="majorBidi" w:cstheme="majorBidi"/>
          <w:sz w:val="24"/>
          <w:szCs w:val="24"/>
          <w:rtl/>
          <w:lang w:val="en-US" w:eastAsia="it-IT"/>
        </w:rPr>
      </w:pPr>
      <w:r w:rsidRPr="006A65E2">
        <w:rPr>
          <w:rFonts w:asciiTheme="majorBidi" w:eastAsia="Calibri" w:hAnsiTheme="majorBidi" w:cs="Times New Roman"/>
          <w:b/>
          <w:bCs/>
          <w:sz w:val="24"/>
          <w:szCs w:val="24"/>
          <w:rtl/>
          <w:lang w:val="en-US" w:eastAsia="it-IT"/>
        </w:rPr>
        <w:t>الكلمات المفتاحية:</w:t>
      </w:r>
      <w:r w:rsidRPr="006A65E2">
        <w:rPr>
          <w:rFonts w:asciiTheme="majorBidi" w:eastAsia="Calibri" w:hAnsiTheme="majorBidi" w:cs="Times New Roman"/>
          <w:sz w:val="24"/>
          <w:szCs w:val="24"/>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Times New Roman, justfy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4AA6A241" w:rsidR="006E3BFA" w:rsidRDefault="006E3BFA" w:rsidP="006E3BFA">
      <w:pPr>
        <w:spacing w:after="0" w:line="240" w:lineRule="auto"/>
        <w:jc w:val="center"/>
        <w:rPr>
          <w:rFonts w:ascii="Times New Roman" w:hAnsi="Times New Roman" w:cs="Times New Roman"/>
          <w:b/>
          <w:sz w:val="24"/>
          <w:szCs w:val="24"/>
          <w:lang w:val="en-US"/>
          <w14:ligatures w14:val="none"/>
        </w:rPr>
      </w:pPr>
    </w:p>
    <w:p w14:paraId="13E06AEA" w14:textId="0FA6BBFD" w:rsidR="00603196" w:rsidRPr="006E3BFA" w:rsidRDefault="00603196" w:rsidP="006E3BFA">
      <w:pPr>
        <w:spacing w:after="0" w:line="240" w:lineRule="auto"/>
        <w:jc w:val="center"/>
        <w:rPr>
          <w:rFonts w:ascii="Times New Roman" w:hAnsi="Times New Roman" w:cs="Times New Roman"/>
          <w:b/>
          <w:sz w:val="24"/>
          <w:szCs w:val="24"/>
          <w:lang w:val="en-US"/>
          <w14:ligatures w14:val="none"/>
        </w:rPr>
      </w:pPr>
      <w:r>
        <w:rPr>
          <w:noProof/>
        </w:rPr>
        <w:drawing>
          <wp:inline distT="0" distB="0" distL="0" distR="0" wp14:anchorId="0A868186" wp14:editId="6523B663">
            <wp:extent cx="2622550" cy="1742440"/>
            <wp:effectExtent l="0" t="0" r="6350" b="0"/>
            <wp:docPr id="4" name="صورة 3" descr="Medical 3D Printing | Dassault Systè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cal 3D Printing | Dassault Systè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2550" cy="1742440"/>
                    </a:xfrm>
                    <a:prstGeom prst="rect">
                      <a:avLst/>
                    </a:prstGeom>
                    <a:noFill/>
                    <a:ln>
                      <a:noFill/>
                    </a:ln>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C5E252F"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p>
    <w:p w14:paraId="728CBDB7" w14:textId="77777777" w:rsidR="00603196" w:rsidRPr="00603196" w:rsidRDefault="00603196" w:rsidP="00603196">
      <w:pPr>
        <w:spacing w:after="0" w:line="240" w:lineRule="auto"/>
        <w:rPr>
          <w:rFonts w:ascii="Times New Roman" w:eastAsia="Calibri" w:hAnsi="Times New Roman" w:cs="Times New Roman"/>
          <w:color w:val="EE0000"/>
          <w:sz w:val="20"/>
          <w:szCs w:val="20"/>
          <w:lang w:val="en-US"/>
          <w14:ligatures w14:val="none"/>
        </w:rPr>
      </w:pPr>
      <w:r w:rsidRPr="00603196">
        <w:rPr>
          <w:rFonts w:ascii="Times New Roman" w:eastAsia="Calibri" w:hAnsi="Times New Roman" w:cs="Times New Roman"/>
          <w:b/>
          <w:bCs/>
          <w:sz w:val="20"/>
          <w:szCs w:val="20"/>
          <w:lang w:val="en-US"/>
          <w14:ligatures w14:val="none"/>
        </w:rPr>
        <w:t xml:space="preserve">References </w:t>
      </w:r>
      <w:r w:rsidRPr="00603196">
        <w:rPr>
          <w:rFonts w:ascii="Times New Roman" w:eastAsia="Calibri" w:hAnsi="Times New Roman" w:cs="Times New Roman"/>
          <w:color w:val="EE0000"/>
          <w:sz w:val="20"/>
          <w:szCs w:val="20"/>
          <w:lang w:val="en-US"/>
          <w14:ligatures w14:val="none"/>
        </w:rPr>
        <w:t>(APA 7th edition style)</w:t>
      </w:r>
    </w:p>
    <w:p w14:paraId="1C56FFF5"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Eason, G., Noble, B., &amp; Sneddon, I. N. (1955, April). On certain integrals of Lipschitz-Hankel type involving products of Bessel functions. </w:t>
      </w:r>
      <w:r w:rsidRPr="00603196">
        <w:rPr>
          <w:rFonts w:ascii="Times New Roman" w:eastAsia="MS Mincho" w:hAnsi="Times New Roman" w:cs="Times New Roman"/>
          <w:i/>
          <w:iCs/>
          <w:noProof/>
          <w:sz w:val="20"/>
          <w:szCs w:val="20"/>
          <w:lang w:val="en-US"/>
          <w14:ligatures w14:val="none"/>
        </w:rPr>
        <w:t>Philosophical Transactions of the Royal Society of London, Series A, Mathematical and Physical Sciences, 247</w:t>
      </w:r>
      <w:r w:rsidRPr="00603196">
        <w:rPr>
          <w:rFonts w:ascii="Times New Roman" w:eastAsia="MS Mincho" w:hAnsi="Times New Roman" w:cs="Times New Roman"/>
          <w:noProof/>
          <w:sz w:val="20"/>
          <w:szCs w:val="20"/>
          <w:lang w:val="en-US"/>
          <w14:ligatures w14:val="none"/>
        </w:rPr>
        <w:t>(929), 529–551.</w:t>
      </w:r>
    </w:p>
    <w:p w14:paraId="50A611D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Maxwell, J. C. (1892). </w:t>
      </w:r>
      <w:r w:rsidRPr="00603196">
        <w:rPr>
          <w:rFonts w:ascii="Times New Roman" w:eastAsia="MS Mincho" w:hAnsi="Times New Roman" w:cs="Times New Roman"/>
          <w:i/>
          <w:iCs/>
          <w:noProof/>
          <w:sz w:val="20"/>
          <w:szCs w:val="20"/>
          <w:lang w:val="en-US"/>
          <w14:ligatures w14:val="none"/>
        </w:rPr>
        <w:t>A treatise on electricity and magnetism</w:t>
      </w:r>
      <w:r w:rsidRPr="00603196">
        <w:rPr>
          <w:rFonts w:ascii="Times New Roman" w:eastAsia="MS Mincho" w:hAnsi="Times New Roman" w:cs="Times New Roman"/>
          <w:noProof/>
          <w:sz w:val="20"/>
          <w:szCs w:val="20"/>
          <w:lang w:val="en-US"/>
          <w14:ligatures w14:val="none"/>
        </w:rPr>
        <w:t xml:space="preserve"> (3rd ed., Vol. 2). Clarendon Press.</w:t>
      </w:r>
    </w:p>
    <w:p w14:paraId="0E06B1DC"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Jacobs, I. S., &amp; Bean, C. P. (1963). Fine particles, thin films and exchange anisotropy. In G. T. Rado &amp; H. Suhl (Eds.), </w:t>
      </w:r>
      <w:r w:rsidRPr="00603196">
        <w:rPr>
          <w:rFonts w:ascii="Times New Roman" w:eastAsia="MS Mincho" w:hAnsi="Times New Roman" w:cs="Times New Roman"/>
          <w:i/>
          <w:iCs/>
          <w:noProof/>
          <w:sz w:val="20"/>
          <w:szCs w:val="20"/>
          <w:lang w:val="en-US"/>
          <w14:ligatures w14:val="none"/>
        </w:rPr>
        <w:t>Magnetism</w:t>
      </w:r>
      <w:r w:rsidRPr="00603196">
        <w:rPr>
          <w:rFonts w:ascii="Times New Roman" w:eastAsia="MS Mincho" w:hAnsi="Times New Roman" w:cs="Times New Roman"/>
          <w:noProof/>
          <w:sz w:val="20"/>
          <w:szCs w:val="20"/>
          <w:lang w:val="en-US"/>
          <w14:ligatures w14:val="none"/>
        </w:rPr>
        <w:t xml:space="preserve"> (Vol. 3, pp. 271–350). Academic Press.</w:t>
      </w:r>
    </w:p>
    <w:p w14:paraId="31E1EF1C"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Elissa, K. (n.d.). </w:t>
      </w:r>
      <w:r w:rsidRPr="00603196">
        <w:rPr>
          <w:rFonts w:ascii="Times New Roman" w:eastAsia="MS Mincho" w:hAnsi="Times New Roman" w:cs="Times New Roman"/>
          <w:i/>
          <w:iCs/>
          <w:noProof/>
          <w:sz w:val="20"/>
          <w:szCs w:val="20"/>
          <w:lang w:val="en-US"/>
          <w14:ligatures w14:val="none"/>
        </w:rPr>
        <w:t>Title of paper if known</w:t>
      </w:r>
      <w:r w:rsidRPr="00603196">
        <w:rPr>
          <w:rFonts w:ascii="Times New Roman" w:eastAsia="MS Mincho" w:hAnsi="Times New Roman" w:cs="Times New Roman"/>
          <w:noProof/>
          <w:sz w:val="20"/>
          <w:szCs w:val="20"/>
          <w:lang w:val="en-US"/>
          <w14:ligatures w14:val="none"/>
        </w:rPr>
        <w:t>. Unpublished manuscript.</w:t>
      </w:r>
    </w:p>
    <w:p w14:paraId="439EC2C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Nicole, R. (in press). Title of paper with only first word capitalized. </w:t>
      </w:r>
      <w:r w:rsidRPr="00603196">
        <w:rPr>
          <w:rFonts w:ascii="Times New Roman" w:eastAsia="MS Mincho" w:hAnsi="Times New Roman" w:cs="Times New Roman"/>
          <w:i/>
          <w:iCs/>
          <w:noProof/>
          <w:sz w:val="20"/>
          <w:szCs w:val="20"/>
          <w:lang w:val="en-US"/>
          <w14:ligatures w14:val="none"/>
        </w:rPr>
        <w:t>Journal Name Standard Abbreviation</w:t>
      </w:r>
      <w:r w:rsidRPr="00603196">
        <w:rPr>
          <w:rFonts w:ascii="Times New Roman" w:eastAsia="MS Mincho" w:hAnsi="Times New Roman" w:cs="Times New Roman"/>
          <w:noProof/>
          <w:sz w:val="20"/>
          <w:szCs w:val="20"/>
          <w:lang w:val="en-US"/>
          <w14:ligatures w14:val="none"/>
        </w:rPr>
        <w:t>.</w:t>
      </w:r>
    </w:p>
    <w:p w14:paraId="3CA29885"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Yorozu, Y., Hirano, M., Oka, K., &amp; Tagawa, Y. (1987, August). Electron spectroscopy studies on magneto-optical media and plastic substrate interface. </w:t>
      </w:r>
      <w:r w:rsidRPr="00603196">
        <w:rPr>
          <w:rFonts w:ascii="Times New Roman" w:eastAsia="MS Mincho" w:hAnsi="Times New Roman" w:cs="Times New Roman"/>
          <w:i/>
          <w:iCs/>
          <w:noProof/>
          <w:sz w:val="20"/>
          <w:szCs w:val="20"/>
          <w:lang w:val="en-US"/>
          <w14:ligatures w14:val="none"/>
        </w:rPr>
        <w:t>IEEE Translation Journal on Magnetics in Japan, 2</w:t>
      </w:r>
      <w:r w:rsidRPr="00603196">
        <w:rPr>
          <w:rFonts w:ascii="Times New Roman" w:eastAsia="MS Mincho" w:hAnsi="Times New Roman" w:cs="Times New Roman"/>
          <w:noProof/>
          <w:sz w:val="20"/>
          <w:szCs w:val="20"/>
          <w:lang w:val="en-US"/>
          <w14:ligatures w14:val="none"/>
        </w:rPr>
        <w:t xml:space="preserve">(8), 740–741. (Original work published 1982, </w:t>
      </w:r>
      <w:r w:rsidRPr="00603196">
        <w:rPr>
          <w:rFonts w:ascii="Times New Roman" w:eastAsia="MS Mincho" w:hAnsi="Times New Roman" w:cs="Times New Roman"/>
          <w:i/>
          <w:iCs/>
          <w:noProof/>
          <w:sz w:val="20"/>
          <w:szCs w:val="20"/>
          <w:lang w:val="en-US"/>
          <w14:ligatures w14:val="none"/>
        </w:rPr>
        <w:t>Digests of the 9th Annual Conference on Magnetics in Japan</w:t>
      </w:r>
      <w:r w:rsidRPr="00603196">
        <w:rPr>
          <w:rFonts w:ascii="Times New Roman" w:eastAsia="MS Mincho" w:hAnsi="Times New Roman" w:cs="Times New Roman"/>
          <w:noProof/>
          <w:sz w:val="20"/>
          <w:szCs w:val="20"/>
          <w:lang w:val="en-US"/>
          <w14:ligatures w14:val="none"/>
        </w:rPr>
        <w:t>, p. 301)</w:t>
      </w:r>
    </w:p>
    <w:p w14:paraId="44C1EC73" w14:textId="77777777" w:rsidR="00603196" w:rsidRPr="00603196" w:rsidRDefault="00603196" w:rsidP="00603196">
      <w:pPr>
        <w:pStyle w:val="a5"/>
        <w:numPr>
          <w:ilvl w:val="0"/>
          <w:numId w:val="2"/>
        </w:numPr>
        <w:tabs>
          <w:tab w:val="num" w:pos="360"/>
        </w:tabs>
        <w:spacing w:after="50" w:line="240" w:lineRule="auto"/>
        <w:jc w:val="both"/>
        <w:rPr>
          <w:rFonts w:ascii="Times New Roman" w:eastAsia="MS Mincho" w:hAnsi="Times New Roman" w:cs="Times New Roman"/>
          <w:noProof/>
          <w:sz w:val="20"/>
          <w:szCs w:val="20"/>
          <w:lang w:val="en-US"/>
          <w14:ligatures w14:val="none"/>
        </w:rPr>
      </w:pPr>
      <w:r w:rsidRPr="00603196">
        <w:rPr>
          <w:rFonts w:ascii="Times New Roman" w:eastAsia="MS Mincho" w:hAnsi="Times New Roman" w:cs="Times New Roman"/>
          <w:noProof/>
          <w:sz w:val="20"/>
          <w:szCs w:val="20"/>
          <w:lang w:val="en-US"/>
          <w14:ligatures w14:val="none"/>
        </w:rPr>
        <w:t xml:space="preserve">Young, M. (1989). </w:t>
      </w:r>
      <w:r w:rsidRPr="00603196">
        <w:rPr>
          <w:rFonts w:ascii="Times New Roman" w:eastAsia="MS Mincho" w:hAnsi="Times New Roman" w:cs="Times New Roman"/>
          <w:i/>
          <w:iCs/>
          <w:noProof/>
          <w:sz w:val="20"/>
          <w:szCs w:val="20"/>
          <w:lang w:val="en-US"/>
          <w14:ligatures w14:val="none"/>
        </w:rPr>
        <w:t>The technical writer's handbook</w:t>
      </w:r>
      <w:r w:rsidRPr="00603196">
        <w:rPr>
          <w:rFonts w:ascii="Times New Roman" w:eastAsia="MS Mincho" w:hAnsi="Times New Roman" w:cs="Times New Roman"/>
          <w:noProof/>
          <w:sz w:val="20"/>
          <w:szCs w:val="20"/>
          <w:lang w:val="en-US"/>
          <w14:ligatures w14:val="none"/>
        </w:rPr>
        <w:t>. University Science Books.</w:t>
      </w:r>
    </w:p>
    <w:p w14:paraId="4DC593CD" w14:textId="0437FA5F" w:rsidR="00341308" w:rsidRPr="006E3BFA" w:rsidRDefault="00341308" w:rsidP="00603196">
      <w:pPr>
        <w:tabs>
          <w:tab w:val="num" w:pos="360"/>
        </w:tabs>
        <w:spacing w:after="50" w:line="240" w:lineRule="auto"/>
        <w:jc w:val="both"/>
        <w:rPr>
          <w:rFonts w:asciiTheme="majorBidi" w:eastAsia="Calibri" w:hAnsiTheme="majorBidi" w:cstheme="majorBidi"/>
          <w:b/>
          <w:bCs/>
          <w:snapToGrid w:val="0"/>
          <w:w w:val="0"/>
          <w:sz w:val="28"/>
          <w:szCs w:val="28"/>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default" r:id="rId10"/>
      <w:footerReference w:type="default" r:id="rId11"/>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97EF6" w14:textId="77777777" w:rsidR="0081049A" w:rsidRDefault="0081049A">
      <w:pPr>
        <w:spacing w:after="0" w:line="240" w:lineRule="auto"/>
      </w:pPr>
      <w:r>
        <w:separator/>
      </w:r>
    </w:p>
  </w:endnote>
  <w:endnote w:type="continuationSeparator" w:id="0">
    <w:p w14:paraId="7D06B0C9" w14:textId="77777777" w:rsidR="0081049A" w:rsidRDefault="0081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6A65E2">
      <w:trPr>
        <w:trHeight w:val="782"/>
      </w:trPr>
      <w:tc>
        <w:tcPr>
          <w:tcW w:w="4509" w:type="pct"/>
          <w:tcBorders>
            <w:top w:val="single" w:sz="4" w:space="0" w:color="000000"/>
          </w:tcBorders>
          <w:vAlign w:val="center"/>
        </w:tcPr>
        <w:p w14:paraId="2F1FB673" w14:textId="2D6D2605" w:rsidR="00CD6D47" w:rsidRPr="00603196" w:rsidRDefault="006A65E2" w:rsidP="006A65E2">
          <w:pPr>
            <w:bidi/>
            <w:jc w:val="center"/>
            <w:rPr>
              <w:b/>
              <w:bCs/>
              <w:sz w:val="22"/>
              <w:szCs w:val="22"/>
              <w:rtl/>
              <w:lang w:val="en-GB" w:bidi="ar-DZ"/>
            </w:rPr>
          </w:pPr>
          <w:r w:rsidRPr="006A65E2">
            <w:rPr>
              <w:rFonts w:asciiTheme="majorBidi" w:hAnsiTheme="majorBidi" w:cstheme="majorBidi"/>
              <w:b/>
              <w:bCs/>
              <w:sz w:val="20"/>
              <w:szCs w:val="20"/>
              <w:lang w:val="en-GB" w:bidi="ar-DZ"/>
            </w:rPr>
            <w:t>Libyan Open University Journal of Medical Sciences and Sustainability</w:t>
          </w:r>
        </w:p>
      </w:tc>
      <w:tc>
        <w:tcPr>
          <w:tcW w:w="491" w:type="pct"/>
          <w:tcBorders>
            <w:top w:val="single" w:sz="4" w:space="0" w:color="C0504D"/>
          </w:tcBorders>
          <w:shd w:val="clear" w:color="auto" w:fill="D9E2F3" w:themeFill="accent1" w:themeFillTint="33"/>
          <w:vAlign w:val="center"/>
        </w:tcPr>
        <w:p w14:paraId="6EA726A7" w14:textId="77777777" w:rsidR="00CD6D47" w:rsidRPr="00EC1CE7" w:rsidRDefault="00CD6D47" w:rsidP="006A65E2">
          <w:pPr>
            <w:spacing w:after="0"/>
            <w:jc w:val="center"/>
            <w:rPr>
              <w:b/>
              <w:bCs/>
              <w:lang w:val="en-US"/>
            </w:rPr>
          </w:pPr>
          <w:r w:rsidRPr="00EC1CE7">
            <w:rPr>
              <w:b/>
              <w:bCs/>
            </w:rPr>
            <w:fldChar w:fldCharType="begin"/>
          </w:r>
          <w:r w:rsidRPr="00EC1CE7">
            <w:rPr>
              <w:b/>
              <w:bCs/>
            </w:rPr>
            <w:instrText>PAGE   \* MERGEFORMAT</w:instrText>
          </w:r>
          <w:r w:rsidRPr="00EC1CE7">
            <w:rPr>
              <w:b/>
              <w:bCs/>
            </w:rPr>
            <w:fldChar w:fldCharType="separate"/>
          </w:r>
          <w:r w:rsidRPr="00EC1CE7">
            <w:rPr>
              <w:b/>
              <w:bCs/>
            </w:rPr>
            <w:t>1</w:t>
          </w:r>
          <w:r w:rsidRPr="00EC1CE7">
            <w:rPr>
              <w:b/>
              <w:bCs/>
            </w:rPr>
            <w:fldChar w:fldCharType="end"/>
          </w:r>
        </w:p>
      </w:tc>
    </w:tr>
  </w:tbl>
  <w:p w14:paraId="3B842AEB" w14:textId="77777777" w:rsidR="00CD6D47" w:rsidRPr="009B0DDF" w:rsidRDefault="00CD6D47" w:rsidP="00CD6D47">
    <w:pPr>
      <w:tabs>
        <w:tab w:val="left" w:pos="5692"/>
      </w:tabs>
      <w:bid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DFBD" w14:textId="77777777" w:rsidR="0081049A" w:rsidRDefault="0081049A">
      <w:pPr>
        <w:spacing w:after="0" w:line="240" w:lineRule="auto"/>
      </w:pPr>
      <w:r>
        <w:separator/>
      </w:r>
    </w:p>
  </w:footnote>
  <w:footnote w:type="continuationSeparator" w:id="0">
    <w:p w14:paraId="79790280" w14:textId="77777777" w:rsidR="0081049A" w:rsidRDefault="00810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377E" w14:textId="77777777" w:rsidR="006A65E2" w:rsidRDefault="006A65E2" w:rsidP="00603196">
    <w:pPr>
      <w:pStyle w:val="a3"/>
      <w:pBdr>
        <w:top w:val="single" w:sz="18" w:space="1" w:color="auto"/>
        <w:left w:val="single" w:sz="18" w:space="4" w:color="auto"/>
        <w:bottom w:val="single" w:sz="18" w:space="1" w:color="auto"/>
        <w:right w:val="single" w:sz="18" w:space="4" w:color="auto"/>
        <w:between w:val="single" w:sz="18" w:space="1" w:color="auto"/>
        <w:bar w:val="single" w:sz="18" w:color="auto"/>
      </w:pBdr>
      <w:shd w:val="clear" w:color="auto" w:fill="D9E2F3" w:themeFill="accent1" w:themeFillTint="33"/>
      <w:jc w:val="center"/>
      <w:rPr>
        <w:rFonts w:asciiTheme="majorBidi" w:hAnsiTheme="majorBidi" w:cstheme="majorBidi"/>
        <w:b/>
        <w:bCs/>
        <w:sz w:val="24"/>
        <w:szCs w:val="24"/>
        <w:lang w:val="en-US"/>
      </w:rPr>
    </w:pPr>
    <w:r w:rsidRPr="006A65E2">
      <w:rPr>
        <w:rFonts w:asciiTheme="majorBidi" w:hAnsiTheme="majorBidi" w:cstheme="majorBidi"/>
        <w:b/>
        <w:bCs/>
        <w:sz w:val="24"/>
        <w:szCs w:val="24"/>
        <w:lang w:val="en-US"/>
      </w:rPr>
      <w:t xml:space="preserve">Libyan Open University Journal of Medical Sciences and Sustainability </w:t>
    </w:r>
  </w:p>
  <w:p w14:paraId="31E18843" w14:textId="0546DECE" w:rsidR="00603196" w:rsidRPr="00603196" w:rsidRDefault="00603196" w:rsidP="00603196">
    <w:pPr>
      <w:pStyle w:val="a3"/>
      <w:pBdr>
        <w:top w:val="single" w:sz="18" w:space="1" w:color="auto"/>
        <w:left w:val="single" w:sz="18" w:space="4" w:color="auto"/>
        <w:bottom w:val="single" w:sz="18" w:space="1" w:color="auto"/>
        <w:right w:val="single" w:sz="18" w:space="4" w:color="auto"/>
        <w:between w:val="single" w:sz="18" w:space="1" w:color="auto"/>
        <w:bar w:val="single" w:sz="18" w:color="auto"/>
      </w:pBdr>
      <w:shd w:val="clear" w:color="auto" w:fill="D9E2F3" w:themeFill="accent1" w:themeFillTint="33"/>
      <w:jc w:val="center"/>
      <w:rPr>
        <w:sz w:val="24"/>
        <w:szCs w:val="24"/>
        <w:lang w:val="en-US"/>
      </w:rPr>
    </w:pPr>
    <w:r w:rsidRPr="00603196">
      <w:rPr>
        <w:rFonts w:asciiTheme="majorBidi" w:hAnsiTheme="majorBidi" w:cstheme="majorBidi"/>
        <w:b/>
        <w:bCs/>
        <w:sz w:val="24"/>
        <w:szCs w:val="24"/>
        <w:lang w:val="en-US"/>
      </w:rPr>
      <w:t>Volume 1 - Issue 1 - 2025 - Pages 01-22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1" w15:restartNumberingAfterBreak="0">
    <w:nsid w:val="2374479E"/>
    <w:multiLevelType w:val="hybridMultilevel"/>
    <w:tmpl w:val="6E04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708366">
    <w:abstractNumId w:val="0"/>
  </w:num>
  <w:num w:numId="2" w16cid:durableId="662007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F0530"/>
    <w:rsid w:val="001328AF"/>
    <w:rsid w:val="00175F62"/>
    <w:rsid w:val="001B28CC"/>
    <w:rsid w:val="001C17FC"/>
    <w:rsid w:val="001D386C"/>
    <w:rsid w:val="001E6948"/>
    <w:rsid w:val="002707AA"/>
    <w:rsid w:val="00294996"/>
    <w:rsid w:val="002C1F6F"/>
    <w:rsid w:val="002C653C"/>
    <w:rsid w:val="002F0E74"/>
    <w:rsid w:val="00306F4F"/>
    <w:rsid w:val="00341308"/>
    <w:rsid w:val="0036329E"/>
    <w:rsid w:val="00364E73"/>
    <w:rsid w:val="00372BE9"/>
    <w:rsid w:val="003B1808"/>
    <w:rsid w:val="003B5D63"/>
    <w:rsid w:val="003C778B"/>
    <w:rsid w:val="004412CC"/>
    <w:rsid w:val="004F2578"/>
    <w:rsid w:val="00504C9F"/>
    <w:rsid w:val="00512960"/>
    <w:rsid w:val="005158B6"/>
    <w:rsid w:val="00575A86"/>
    <w:rsid w:val="005A7B39"/>
    <w:rsid w:val="005D7424"/>
    <w:rsid w:val="005E056D"/>
    <w:rsid w:val="00603196"/>
    <w:rsid w:val="006853FC"/>
    <w:rsid w:val="00692630"/>
    <w:rsid w:val="00692A3E"/>
    <w:rsid w:val="006A65E2"/>
    <w:rsid w:val="006E3BFA"/>
    <w:rsid w:val="007050E8"/>
    <w:rsid w:val="00752F27"/>
    <w:rsid w:val="007539EC"/>
    <w:rsid w:val="007B268F"/>
    <w:rsid w:val="007F0542"/>
    <w:rsid w:val="0081049A"/>
    <w:rsid w:val="00822E3B"/>
    <w:rsid w:val="008745B8"/>
    <w:rsid w:val="008A0D27"/>
    <w:rsid w:val="008E3E2C"/>
    <w:rsid w:val="00986A28"/>
    <w:rsid w:val="009911DF"/>
    <w:rsid w:val="009D792D"/>
    <w:rsid w:val="00A278B0"/>
    <w:rsid w:val="00A83AC6"/>
    <w:rsid w:val="00AA08A5"/>
    <w:rsid w:val="00AF33A7"/>
    <w:rsid w:val="00B16372"/>
    <w:rsid w:val="00B3019B"/>
    <w:rsid w:val="00B33FF1"/>
    <w:rsid w:val="00B35BB8"/>
    <w:rsid w:val="00C11AB0"/>
    <w:rsid w:val="00C24037"/>
    <w:rsid w:val="00C27D1C"/>
    <w:rsid w:val="00C5335A"/>
    <w:rsid w:val="00CA01E5"/>
    <w:rsid w:val="00CD6D47"/>
    <w:rsid w:val="00DF3198"/>
    <w:rsid w:val="00DF3534"/>
    <w:rsid w:val="00DF52E5"/>
    <w:rsid w:val="00E14B60"/>
    <w:rsid w:val="00E26E51"/>
    <w:rsid w:val="00E36B37"/>
    <w:rsid w:val="00E827C3"/>
    <w:rsid w:val="00EC1CE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1134</Words>
  <Characters>6668</Characters>
  <Application>Microsoft Office Word</Application>
  <DocSecurity>0</DocSecurity>
  <Lines>148</Lines>
  <Paragraphs>100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Libyan Open University Journal of Applied Sciences (LOUJAS)</vt: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Libyan Open University Journal of Medical Sciences and Sustainability</dc:title>
  <dc:subject/>
  <dc:creator>المجلة الليبية للدراسات الأكاديمية المعاصرة</dc:creator>
  <cp:keywords/>
  <dc:description/>
  <cp:lastModifiedBy>Abdussalam Ali Ahmed</cp:lastModifiedBy>
  <cp:revision>22</cp:revision>
  <dcterms:created xsi:type="dcterms:W3CDTF">2023-12-11T01:56:00Z</dcterms:created>
  <dcterms:modified xsi:type="dcterms:W3CDTF">2025-08-03T23:16:00Z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